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เทศบาลตำบลมาบแค อำเภอเมืองนครปฐม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กองช่าง เทศบาลตำบลมาบแค 0-3420-3023-4 ต่อ 105/ติดต่อด้วยตนเอง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กองช่างเทศบาลตำบลมาบแค 0-3420-3023-4 ต่อ 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(http://www.mabkae.org/) </w:t>
              <w:br/>
              <w:t xml:space="preserve">2. ทางโทรศัพท์ (0-3420-3023-4 ต่อ 105)</w:t>
              <w:br/>
              <w:t xml:space="preserve">3.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